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20" w:rsidRPr="009707B6" w:rsidRDefault="00A57820" w:rsidP="00A57820">
      <w:pPr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Hajdúbagos Község Önkormányzat Képviselő-testületének</w:t>
      </w:r>
    </w:p>
    <w:p w:rsidR="00A57820" w:rsidRPr="009707B6" w:rsidRDefault="00A57820" w:rsidP="00A57820">
      <w:pPr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10/2020. (III.12.) önkormányzati rendelete</w:t>
      </w:r>
    </w:p>
    <w:p w:rsidR="00A57820" w:rsidRPr="009707B6" w:rsidRDefault="00A57820" w:rsidP="00A57820">
      <w:pPr>
        <w:jc w:val="center"/>
        <w:rPr>
          <w:b/>
          <w:bCs/>
          <w:sz w:val="24"/>
          <w:szCs w:val="24"/>
        </w:rPr>
      </w:pPr>
    </w:p>
    <w:p w:rsidR="00A57820" w:rsidRPr="009707B6" w:rsidRDefault="00A57820" w:rsidP="00A57820">
      <w:pPr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a szociális ellátások helyi rendszeréről szóló 2/2015. (II. 26.) ÖR. módosításáról</w:t>
      </w:r>
    </w:p>
    <w:p w:rsidR="00A57820" w:rsidRPr="009707B6" w:rsidRDefault="00A57820" w:rsidP="00A57820">
      <w:pPr>
        <w:rPr>
          <w:sz w:val="24"/>
          <w:szCs w:val="24"/>
        </w:rPr>
      </w:pPr>
    </w:p>
    <w:p w:rsidR="00A57820" w:rsidRPr="009707B6" w:rsidRDefault="00A57820" w:rsidP="00A57820">
      <w:pPr>
        <w:rPr>
          <w:sz w:val="24"/>
          <w:szCs w:val="24"/>
        </w:rPr>
      </w:pPr>
    </w:p>
    <w:p w:rsidR="00A57820" w:rsidRPr="009707B6" w:rsidRDefault="00A57820" w:rsidP="00A57820">
      <w:pPr>
        <w:jc w:val="both"/>
        <w:rPr>
          <w:sz w:val="24"/>
          <w:szCs w:val="24"/>
        </w:rPr>
      </w:pPr>
      <w:r w:rsidRPr="009707B6">
        <w:rPr>
          <w:sz w:val="24"/>
          <w:szCs w:val="24"/>
        </w:rPr>
        <w:t>Hajdúbagos Község Önkormányzata Magyarország helyi önkormányzatairól szóló 2011. évi CLXXXIX. törvény, valamint a szociális igazgatásról és szociális ellátásokról szóló 1993. évi III. törvény (továbbiakban Szt.) 1. § (2) bekezdésében, 32. § (3) bekezdésében és a 132. § (4) bekezdésében foglalt felhatalmazás alapján a pénzbeli és természetbeni szociális ellátásokról az alábbi rendeletet alkotja.</w:t>
      </w:r>
    </w:p>
    <w:p w:rsidR="00A57820" w:rsidRPr="009707B6" w:rsidRDefault="00A57820" w:rsidP="00A57820">
      <w:pPr>
        <w:rPr>
          <w:sz w:val="24"/>
          <w:szCs w:val="24"/>
        </w:rPr>
      </w:pPr>
    </w:p>
    <w:p w:rsidR="00A57820" w:rsidRPr="009707B6" w:rsidRDefault="00A57820" w:rsidP="00A57820">
      <w:pPr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1. §</w:t>
      </w:r>
    </w:p>
    <w:p w:rsidR="00A57820" w:rsidRPr="009707B6" w:rsidRDefault="00A57820" w:rsidP="00A57820">
      <w:pPr>
        <w:jc w:val="center"/>
        <w:rPr>
          <w:b/>
          <w:bCs/>
          <w:sz w:val="24"/>
          <w:szCs w:val="24"/>
        </w:rPr>
      </w:pPr>
    </w:p>
    <w:p w:rsidR="00A57820" w:rsidRPr="009707B6" w:rsidRDefault="00A57820" w:rsidP="00A57820">
      <w:pPr>
        <w:tabs>
          <w:tab w:val="left" w:pos="426"/>
        </w:tabs>
        <w:jc w:val="both"/>
        <w:rPr>
          <w:sz w:val="24"/>
          <w:szCs w:val="24"/>
        </w:rPr>
      </w:pPr>
      <w:r w:rsidRPr="009707B6">
        <w:rPr>
          <w:sz w:val="24"/>
          <w:szCs w:val="24"/>
        </w:rPr>
        <w:t xml:space="preserve">A szociális ellátások helyi rendszeréről szóló 2/2015. (II. 26.) rendelet (továbbiakban: rendelet)5. § (2) bekezdése az alábbiak szerint módosul: </w:t>
      </w:r>
    </w:p>
    <w:p w:rsidR="00A57820" w:rsidRPr="009707B6" w:rsidRDefault="00A57820" w:rsidP="00A57820">
      <w:pPr>
        <w:rPr>
          <w:sz w:val="24"/>
          <w:szCs w:val="24"/>
        </w:rPr>
      </w:pPr>
    </w:p>
    <w:p w:rsidR="00A57820" w:rsidRPr="009707B6" w:rsidRDefault="00A57820" w:rsidP="00A57820">
      <w:pPr>
        <w:spacing w:line="360" w:lineRule="auto"/>
        <w:jc w:val="both"/>
        <w:rPr>
          <w:i/>
          <w:iCs/>
          <w:sz w:val="24"/>
          <w:szCs w:val="24"/>
        </w:rPr>
      </w:pPr>
      <w:r w:rsidRPr="009707B6">
        <w:rPr>
          <w:i/>
          <w:iCs/>
          <w:sz w:val="24"/>
          <w:szCs w:val="24"/>
        </w:rPr>
        <w:t xml:space="preserve">„5. § (2) Abban az esetben, ha a rendszeres természetbeni szociális ellátást az Önkormányzat </w:t>
      </w:r>
      <w:r w:rsidRPr="009707B6">
        <w:rPr>
          <w:i/>
          <w:iCs/>
          <w:sz w:val="24"/>
          <w:szCs w:val="24"/>
          <w:shd w:val="clear" w:color="auto" w:fill="FFFFFF"/>
        </w:rPr>
        <w:t>a tüzelőanyag költség</w:t>
      </w:r>
      <w:r w:rsidRPr="009707B6">
        <w:rPr>
          <w:i/>
          <w:iCs/>
          <w:sz w:val="24"/>
          <w:szCs w:val="24"/>
        </w:rPr>
        <w:t>ének viseléséhez nyújtja, úgy az (1) bekezdéstől eltérően a megállapított ellátás összegének megfelelő tűzifát a jogosult 2020. december hónapjában kapja meg.”</w:t>
      </w:r>
    </w:p>
    <w:p w:rsidR="00A57820" w:rsidRPr="009707B6" w:rsidRDefault="00A57820" w:rsidP="00A57820">
      <w:pPr>
        <w:spacing w:line="360" w:lineRule="auto"/>
        <w:jc w:val="both"/>
        <w:rPr>
          <w:i/>
          <w:iCs/>
          <w:sz w:val="24"/>
          <w:szCs w:val="24"/>
        </w:rPr>
      </w:pPr>
    </w:p>
    <w:p w:rsidR="00A57820" w:rsidRPr="009707B6" w:rsidRDefault="00A57820" w:rsidP="00A57820">
      <w:pPr>
        <w:spacing w:line="360" w:lineRule="auto"/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2. §</w:t>
      </w:r>
    </w:p>
    <w:p w:rsidR="00A57820" w:rsidRPr="009707B6" w:rsidRDefault="00A57820" w:rsidP="00A57820">
      <w:pPr>
        <w:spacing w:line="360" w:lineRule="auto"/>
        <w:jc w:val="both"/>
        <w:rPr>
          <w:sz w:val="24"/>
          <w:szCs w:val="24"/>
        </w:rPr>
      </w:pPr>
      <w:r w:rsidRPr="009707B6">
        <w:rPr>
          <w:sz w:val="24"/>
          <w:szCs w:val="24"/>
        </w:rPr>
        <w:t>A rendelet 8. § (2) bekezdése az alábbiak szerint módosul:</w:t>
      </w:r>
    </w:p>
    <w:p w:rsidR="00A57820" w:rsidRPr="009707B6" w:rsidRDefault="00A57820" w:rsidP="00A57820">
      <w:pPr>
        <w:spacing w:line="360" w:lineRule="auto"/>
        <w:jc w:val="both"/>
        <w:rPr>
          <w:i/>
          <w:iCs/>
          <w:sz w:val="24"/>
          <w:szCs w:val="24"/>
        </w:rPr>
      </w:pPr>
      <w:r w:rsidRPr="009707B6">
        <w:rPr>
          <w:i/>
          <w:iCs/>
          <w:sz w:val="24"/>
          <w:szCs w:val="24"/>
        </w:rPr>
        <w:t>„8. § (2) Rendkívüli települési támogatás a kelengyetámogatás, a temetési költségek viseléséhez- valamint létfenntartást veszélyeztető rendkívüli élethelyzetbe került személyek részére nyújtott ellátás.”</w:t>
      </w:r>
    </w:p>
    <w:p w:rsidR="00A57820" w:rsidRPr="009707B6" w:rsidRDefault="00A57820" w:rsidP="00A57820">
      <w:pPr>
        <w:spacing w:line="360" w:lineRule="auto"/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3. §</w:t>
      </w:r>
    </w:p>
    <w:p w:rsidR="00A57820" w:rsidRPr="009707B6" w:rsidRDefault="00A57820" w:rsidP="00A57820">
      <w:pPr>
        <w:spacing w:line="360" w:lineRule="auto"/>
        <w:jc w:val="both"/>
        <w:rPr>
          <w:sz w:val="24"/>
          <w:szCs w:val="24"/>
        </w:rPr>
      </w:pPr>
      <w:r w:rsidRPr="009707B6">
        <w:rPr>
          <w:sz w:val="24"/>
          <w:szCs w:val="24"/>
        </w:rPr>
        <w:t>A rendelet 11. § (3) bekezdése az alábbiak szerint módosul:</w:t>
      </w:r>
    </w:p>
    <w:p w:rsidR="00A57820" w:rsidRPr="009707B6" w:rsidRDefault="00A57820" w:rsidP="00A57820">
      <w:pPr>
        <w:spacing w:line="360" w:lineRule="auto"/>
        <w:ind w:right="147"/>
        <w:jc w:val="both"/>
        <w:rPr>
          <w:i/>
          <w:iCs/>
          <w:sz w:val="24"/>
          <w:szCs w:val="24"/>
          <w:highlight w:val="white"/>
          <w:lang w:val="en-US"/>
        </w:rPr>
      </w:pPr>
      <w:r w:rsidRPr="009707B6">
        <w:rPr>
          <w:i/>
          <w:iCs/>
          <w:sz w:val="24"/>
          <w:szCs w:val="24"/>
          <w:highlight w:val="white"/>
          <w:lang w:val="en-US"/>
        </w:rPr>
        <w:t xml:space="preserve">“11. § (3) A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lakásfenntartási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támogatás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egy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hónapra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jutó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összege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 a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lakásfenntartás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elismert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havi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költségének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és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 a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támogatás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mértékének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 (a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továbbiakban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: TM)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szorzata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, ha a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jogosult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háztartásában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az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egy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fogyasztási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egységre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jutó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havi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jövedelem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az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> a) 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pont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szerinti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mértéket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meghaladja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, de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nem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lehet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kevesebb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, mint 2.000 forint,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és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havi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összege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nem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highlight w:val="white"/>
          <w:lang w:val="en-US"/>
        </w:rPr>
        <w:t>haladhatja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meg </w:t>
      </w:r>
      <w:proofErr w:type="spellStart"/>
      <w:r>
        <w:rPr>
          <w:i/>
          <w:iCs/>
          <w:sz w:val="24"/>
          <w:szCs w:val="24"/>
          <w:highlight w:val="white"/>
          <w:lang w:val="en-US"/>
        </w:rPr>
        <w:t>az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r w:rsidRPr="009707B6">
        <w:rPr>
          <w:i/>
          <w:iCs/>
          <w:sz w:val="24"/>
          <w:szCs w:val="24"/>
          <w:highlight w:val="white"/>
          <w:lang w:val="en-US"/>
        </w:rPr>
        <w:t xml:space="preserve">5.000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forintot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. A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támogatás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összegét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 xml:space="preserve"> 100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forintra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kerekítve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kell</w:t>
      </w:r>
      <w:proofErr w:type="spellEnd"/>
      <w:r>
        <w:rPr>
          <w:i/>
          <w:iCs/>
          <w:sz w:val="24"/>
          <w:szCs w:val="24"/>
          <w:highlight w:val="white"/>
          <w:lang w:val="en-US"/>
        </w:rPr>
        <w:t xml:space="preserve"> </w:t>
      </w:r>
      <w:proofErr w:type="spellStart"/>
      <w:r w:rsidRPr="009707B6">
        <w:rPr>
          <w:i/>
          <w:iCs/>
          <w:sz w:val="24"/>
          <w:szCs w:val="24"/>
          <w:highlight w:val="white"/>
          <w:lang w:val="en-US"/>
        </w:rPr>
        <w:t>meghatározni</w:t>
      </w:r>
      <w:proofErr w:type="spellEnd"/>
      <w:r w:rsidRPr="009707B6">
        <w:rPr>
          <w:i/>
          <w:iCs/>
          <w:sz w:val="24"/>
          <w:szCs w:val="24"/>
          <w:highlight w:val="white"/>
          <w:lang w:val="en-US"/>
        </w:rPr>
        <w:t>.”</w:t>
      </w:r>
    </w:p>
    <w:p w:rsidR="00A57820" w:rsidRPr="009707B6" w:rsidRDefault="00A57820" w:rsidP="00A57820">
      <w:pPr>
        <w:spacing w:line="360" w:lineRule="auto"/>
        <w:jc w:val="both"/>
        <w:rPr>
          <w:i/>
          <w:iCs/>
          <w:sz w:val="24"/>
          <w:szCs w:val="24"/>
        </w:rPr>
      </w:pPr>
    </w:p>
    <w:p w:rsidR="00A57820" w:rsidRPr="009707B6" w:rsidRDefault="00A57820" w:rsidP="00A57820">
      <w:pPr>
        <w:spacing w:line="360" w:lineRule="auto"/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4. §</w:t>
      </w:r>
    </w:p>
    <w:p w:rsidR="00A57820" w:rsidRPr="009707B6" w:rsidRDefault="00A57820" w:rsidP="00A57820">
      <w:pPr>
        <w:spacing w:line="360" w:lineRule="auto"/>
        <w:jc w:val="both"/>
        <w:rPr>
          <w:sz w:val="24"/>
          <w:szCs w:val="24"/>
        </w:rPr>
      </w:pPr>
      <w:r w:rsidRPr="009707B6">
        <w:rPr>
          <w:sz w:val="24"/>
          <w:szCs w:val="24"/>
        </w:rPr>
        <w:t>A rendelet 13. § (1) bekezdése az alábbiak szerint módosul:</w:t>
      </w:r>
    </w:p>
    <w:p w:rsidR="00A57820" w:rsidRPr="009707B6" w:rsidRDefault="00A57820" w:rsidP="00A57820">
      <w:pPr>
        <w:spacing w:before="90" w:line="360" w:lineRule="auto"/>
        <w:ind w:right="150"/>
        <w:jc w:val="both"/>
        <w:rPr>
          <w:i/>
          <w:iCs/>
          <w:sz w:val="24"/>
          <w:szCs w:val="24"/>
          <w:shd w:val="clear" w:color="auto" w:fill="FFFFFF"/>
        </w:rPr>
      </w:pPr>
      <w:r w:rsidRPr="009707B6">
        <w:rPr>
          <w:i/>
          <w:iCs/>
          <w:sz w:val="24"/>
          <w:szCs w:val="24"/>
          <w:highlight w:val="white"/>
        </w:rPr>
        <w:t>„13. §</w:t>
      </w:r>
      <w:r w:rsidRPr="009707B6">
        <w:rPr>
          <w:i/>
          <w:iCs/>
          <w:sz w:val="24"/>
          <w:szCs w:val="24"/>
          <w:shd w:val="clear" w:color="auto" w:fill="FFFFFF"/>
        </w:rPr>
        <w:t xml:space="preserve"> (1) A lakásfenntartási támogatást a kérelem benyújtásának időpontjától függetlenül legfeljebb 2021. február 28. napjáig lehet megállapítani. </w:t>
      </w:r>
      <w:r w:rsidRPr="009707B6">
        <w:rPr>
          <w:i/>
          <w:iCs/>
          <w:sz w:val="24"/>
          <w:szCs w:val="24"/>
        </w:rPr>
        <w:t xml:space="preserve">A kérelmezőt a havi </w:t>
      </w:r>
      <w:r w:rsidRPr="009707B6">
        <w:rPr>
          <w:i/>
          <w:iCs/>
          <w:sz w:val="24"/>
          <w:szCs w:val="24"/>
        </w:rPr>
        <w:lastRenderedPageBreak/>
        <w:t>rendszerességgel járó</w:t>
      </w:r>
      <w:bookmarkStart w:id="0" w:name="pr42"/>
      <w:bookmarkEnd w:id="0"/>
      <w:r w:rsidRPr="009707B6">
        <w:rPr>
          <w:i/>
          <w:iCs/>
          <w:sz w:val="24"/>
          <w:szCs w:val="24"/>
        </w:rPr>
        <w:t xml:space="preserve"> lakásfenntartási támogatás a kérelem benyújtása hónapjának első napjától illeti meg.”</w:t>
      </w:r>
    </w:p>
    <w:p w:rsidR="00A57820" w:rsidRPr="009707B6" w:rsidRDefault="00A57820" w:rsidP="00A57820">
      <w:pPr>
        <w:spacing w:line="360" w:lineRule="auto"/>
        <w:jc w:val="center"/>
        <w:rPr>
          <w:b/>
          <w:bCs/>
          <w:sz w:val="24"/>
          <w:szCs w:val="24"/>
        </w:rPr>
      </w:pPr>
      <w:r w:rsidRPr="009707B6">
        <w:rPr>
          <w:b/>
          <w:bCs/>
          <w:sz w:val="24"/>
          <w:szCs w:val="24"/>
        </w:rPr>
        <w:t>5. §</w:t>
      </w:r>
    </w:p>
    <w:p w:rsidR="00A57820" w:rsidRPr="009707B6" w:rsidRDefault="00A57820" w:rsidP="00A57820">
      <w:pPr>
        <w:spacing w:line="360" w:lineRule="auto"/>
        <w:jc w:val="both"/>
        <w:rPr>
          <w:sz w:val="24"/>
          <w:szCs w:val="24"/>
        </w:rPr>
      </w:pPr>
      <w:r w:rsidRPr="009707B6">
        <w:rPr>
          <w:sz w:val="24"/>
          <w:szCs w:val="24"/>
        </w:rPr>
        <w:t>A rendelet 15. § (3) bekezdése az alábbiak szerint módosul:</w:t>
      </w:r>
    </w:p>
    <w:p w:rsidR="00A57820" w:rsidRPr="009707B6" w:rsidRDefault="00A57820" w:rsidP="00A57820">
      <w:pPr>
        <w:pStyle w:val="NormlWeb"/>
        <w:spacing w:after="0" w:line="360" w:lineRule="auto"/>
        <w:ind w:firstLine="0"/>
        <w:jc w:val="both"/>
        <w:rPr>
          <w:i/>
          <w:iCs/>
          <w:color w:val="000000"/>
        </w:rPr>
      </w:pPr>
      <w:r w:rsidRPr="009707B6">
        <w:rPr>
          <w:i/>
          <w:iCs/>
          <w:color w:val="000000"/>
        </w:rPr>
        <w:t>„15. § (3) A gyógyszertámogatás a kérelem benyújtása hónapjának első napjától 6 hónap időtartamra, de legfeljebb 2021. február 28. napjáig kerül megállapításra azzal, hogy amennyiben a jogosult ezen időtartam alatt jogosultságot szerez közgyógyellátásra, a részére megállapított gyógyszertámogatást e naptól meg kell szüntetni.”</w:t>
      </w:r>
    </w:p>
    <w:p w:rsidR="00A57820" w:rsidRPr="009707B6" w:rsidRDefault="00A57820" w:rsidP="00A57820">
      <w:pPr>
        <w:jc w:val="center"/>
        <w:rPr>
          <w:rStyle w:val="Kiemels"/>
          <w:b/>
          <w:bCs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4. §</w:t>
      </w:r>
    </w:p>
    <w:p w:rsidR="00A57820" w:rsidRPr="009707B6" w:rsidRDefault="00A57820" w:rsidP="00A57820">
      <w:pPr>
        <w:jc w:val="center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spacing w:line="360" w:lineRule="auto"/>
        <w:jc w:val="both"/>
        <w:rPr>
          <w:sz w:val="24"/>
          <w:szCs w:val="24"/>
        </w:rPr>
      </w:pPr>
      <w:r w:rsidRPr="009707B6">
        <w:rPr>
          <w:sz w:val="24"/>
          <w:szCs w:val="24"/>
        </w:rPr>
        <w:t>A rendelet 16. § (1) bekezdése az alábbiak szerint módosul:</w:t>
      </w:r>
    </w:p>
    <w:p w:rsidR="00A57820" w:rsidRPr="009707B6" w:rsidRDefault="00A57820" w:rsidP="00A57820">
      <w:pPr>
        <w:spacing w:line="360" w:lineRule="auto"/>
        <w:jc w:val="both"/>
        <w:rPr>
          <w:i/>
          <w:iCs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„16. § (1)</w:t>
      </w:r>
      <w:r w:rsidRPr="009707B6">
        <w:rPr>
          <w:i/>
          <w:iCs/>
          <w:sz w:val="24"/>
          <w:szCs w:val="24"/>
        </w:rPr>
        <w:t>A jegyző a temetési költségek megfizetéséhez pénzbeli rendkívüli temetési támogatást állapít meg annak a személynek, aki az elhunyt személy eltemettetéséről gondoskodott.”</w:t>
      </w:r>
    </w:p>
    <w:p w:rsidR="00A57820" w:rsidRPr="009707B6" w:rsidRDefault="00A57820" w:rsidP="00A57820">
      <w:pPr>
        <w:jc w:val="both"/>
        <w:rPr>
          <w:rStyle w:val="Kiemels"/>
          <w:b/>
          <w:bCs/>
          <w:color w:val="000000"/>
          <w:sz w:val="24"/>
          <w:szCs w:val="24"/>
        </w:rPr>
      </w:pPr>
    </w:p>
    <w:p w:rsidR="00A57820" w:rsidRPr="009707B6" w:rsidRDefault="00A57820" w:rsidP="00A57820">
      <w:pPr>
        <w:jc w:val="center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5. §</w:t>
      </w:r>
    </w:p>
    <w:p w:rsidR="00A57820" w:rsidRPr="009707B6" w:rsidRDefault="00A57820" w:rsidP="00A57820">
      <w:pPr>
        <w:jc w:val="center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i w:val="0"/>
          <w:iCs w:val="0"/>
          <w:color w:val="000000"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A rendelet a következő 16/A §-</w:t>
      </w:r>
      <w:proofErr w:type="spellStart"/>
      <w:r w:rsidRPr="009707B6">
        <w:rPr>
          <w:rStyle w:val="Kiemels"/>
          <w:color w:val="000000"/>
          <w:sz w:val="24"/>
          <w:szCs w:val="24"/>
        </w:rPr>
        <w:t>sal</w:t>
      </w:r>
      <w:proofErr w:type="spellEnd"/>
      <w:r w:rsidRPr="009707B6">
        <w:rPr>
          <w:rStyle w:val="Kiemels"/>
          <w:color w:val="000000"/>
          <w:sz w:val="24"/>
          <w:szCs w:val="24"/>
        </w:rPr>
        <w:t xml:space="preserve"> egészül ki:</w:t>
      </w:r>
    </w:p>
    <w:p w:rsidR="00A57820" w:rsidRPr="009707B6" w:rsidRDefault="00A57820" w:rsidP="00A57820">
      <w:pPr>
        <w:jc w:val="both"/>
        <w:rPr>
          <w:rStyle w:val="Kiemels"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spacing w:line="360" w:lineRule="auto"/>
        <w:jc w:val="both"/>
        <w:rPr>
          <w:rStyle w:val="Kiemels"/>
          <w:sz w:val="24"/>
          <w:szCs w:val="24"/>
        </w:rPr>
      </w:pPr>
      <w:r w:rsidRPr="009707B6">
        <w:rPr>
          <w:rStyle w:val="Kiemels"/>
          <w:sz w:val="24"/>
          <w:szCs w:val="24"/>
        </w:rPr>
        <w:t>„16/A. § (1) A jegyző kelengyetámogatást állapíthat meg a Hajdúbagoson élő szülőnek, amennyiben a gyermek törvényes képviselőinek az önkormányzatnál nincs nyilvántartott adótartozása.</w:t>
      </w:r>
    </w:p>
    <w:p w:rsidR="00A57820" w:rsidRPr="009707B6" w:rsidRDefault="00A57820" w:rsidP="00A57820">
      <w:pPr>
        <w:spacing w:line="360" w:lineRule="auto"/>
        <w:jc w:val="both"/>
        <w:rPr>
          <w:rStyle w:val="Kiemels"/>
          <w:sz w:val="24"/>
          <w:szCs w:val="24"/>
        </w:rPr>
      </w:pPr>
      <w:r w:rsidRPr="009707B6">
        <w:rPr>
          <w:rStyle w:val="Kiemels"/>
          <w:sz w:val="24"/>
          <w:szCs w:val="24"/>
        </w:rPr>
        <w:t>(2) A támogatás a 2020. február 1. után született gyermekekre igényelhető. A kelengyetámogatás összege 15.000 Ft.</w:t>
      </w:r>
    </w:p>
    <w:p w:rsidR="00A57820" w:rsidRPr="009707B6" w:rsidRDefault="00A57820" w:rsidP="00A57820">
      <w:pPr>
        <w:spacing w:line="360" w:lineRule="auto"/>
        <w:jc w:val="both"/>
        <w:rPr>
          <w:rStyle w:val="Kiemels"/>
          <w:sz w:val="24"/>
          <w:szCs w:val="24"/>
        </w:rPr>
      </w:pPr>
      <w:r w:rsidRPr="009707B6">
        <w:rPr>
          <w:rStyle w:val="Kiemels"/>
          <w:sz w:val="24"/>
          <w:szCs w:val="24"/>
        </w:rPr>
        <w:t>(3) A támogatás iránti kérelem a szülést követő 60 napon belül nyújtható be a rendelet 4. számú melléklete szerinti formanyomtatványon. A kérelemhez mellékelni kell a gyermek születési anyakönyvi kivonatát, valamint az önkormányzati adóhatóság által kiállított nemleges adóigazolást.”</w:t>
      </w:r>
    </w:p>
    <w:p w:rsidR="00A57820" w:rsidRPr="009707B6" w:rsidRDefault="00A57820" w:rsidP="00A57820">
      <w:pPr>
        <w:jc w:val="center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i w:val="0"/>
          <w:iCs w:val="0"/>
          <w:color w:val="000000"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Ez a rendelet a kihirdetést követő napon lép hatályba. Rendelkezéseit a folyamatban lévő ügyekben is alkalmazni kell.</w:t>
      </w:r>
    </w:p>
    <w:p w:rsidR="00A57820" w:rsidRPr="009707B6" w:rsidRDefault="00A57820" w:rsidP="00A57820">
      <w:pPr>
        <w:jc w:val="both"/>
        <w:rPr>
          <w:rStyle w:val="Kiemels"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i w:val="0"/>
          <w:iCs w:val="0"/>
          <w:color w:val="000000"/>
          <w:sz w:val="24"/>
          <w:szCs w:val="24"/>
        </w:rPr>
      </w:pPr>
    </w:p>
    <w:p w:rsidR="00A57820" w:rsidRPr="00D368D5" w:rsidRDefault="00A57820" w:rsidP="00A57820">
      <w:pPr>
        <w:jc w:val="both"/>
        <w:rPr>
          <w:rStyle w:val="Kiemels"/>
          <w:b/>
          <w:bCs/>
          <w:i w:val="0"/>
          <w:iCs w:val="0"/>
          <w:color w:val="FF0000"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 xml:space="preserve">Hajdúbagos, 2020. </w:t>
      </w:r>
      <w:r w:rsidRPr="00D368D5">
        <w:rPr>
          <w:rStyle w:val="Kiemels"/>
          <w:color w:val="FF0000"/>
          <w:sz w:val="24"/>
          <w:szCs w:val="24"/>
        </w:rPr>
        <w:t xml:space="preserve">március </w:t>
      </w:r>
      <w:r>
        <w:rPr>
          <w:rStyle w:val="Kiemels"/>
          <w:color w:val="FF0000"/>
          <w:sz w:val="24"/>
          <w:szCs w:val="24"/>
        </w:rPr>
        <w:t>12.</w:t>
      </w: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Szabó Lukács Imre</w:t>
      </w:r>
      <w:r w:rsidRPr="009707B6">
        <w:rPr>
          <w:rStyle w:val="Kiemels"/>
          <w:color w:val="000000"/>
          <w:sz w:val="24"/>
          <w:szCs w:val="24"/>
        </w:rPr>
        <w:tab/>
      </w:r>
      <w:r w:rsidRPr="009707B6">
        <w:rPr>
          <w:rStyle w:val="Kiemels"/>
          <w:color w:val="000000"/>
          <w:sz w:val="24"/>
          <w:szCs w:val="24"/>
        </w:rPr>
        <w:tab/>
      </w:r>
      <w:r w:rsidRPr="009707B6">
        <w:rPr>
          <w:rStyle w:val="Kiemels"/>
          <w:color w:val="000000"/>
          <w:sz w:val="24"/>
          <w:szCs w:val="24"/>
        </w:rPr>
        <w:tab/>
      </w:r>
      <w:r w:rsidRPr="009707B6">
        <w:rPr>
          <w:rStyle w:val="Kiemels"/>
          <w:color w:val="000000"/>
          <w:sz w:val="24"/>
          <w:szCs w:val="24"/>
        </w:rPr>
        <w:tab/>
      </w:r>
      <w:r w:rsidRPr="009707B6">
        <w:rPr>
          <w:rStyle w:val="Kiemels"/>
          <w:color w:val="000000"/>
          <w:sz w:val="24"/>
          <w:szCs w:val="24"/>
        </w:rPr>
        <w:tab/>
        <w:t xml:space="preserve">        Dr. Patakyné Dr. </w:t>
      </w:r>
      <w:r>
        <w:rPr>
          <w:rStyle w:val="Kiemels"/>
          <w:color w:val="000000"/>
          <w:sz w:val="24"/>
          <w:szCs w:val="24"/>
        </w:rPr>
        <w:t>Gáti Zsuzsa        polgármester</w:t>
      </w:r>
      <w:r>
        <w:rPr>
          <w:rStyle w:val="Kiemels"/>
          <w:color w:val="000000"/>
          <w:sz w:val="24"/>
          <w:szCs w:val="24"/>
        </w:rPr>
        <w:tab/>
      </w:r>
      <w:r>
        <w:rPr>
          <w:rStyle w:val="Kiemels"/>
          <w:color w:val="000000"/>
          <w:sz w:val="24"/>
          <w:szCs w:val="24"/>
        </w:rPr>
        <w:tab/>
      </w:r>
      <w:r>
        <w:rPr>
          <w:rStyle w:val="Kiemels"/>
          <w:color w:val="000000"/>
          <w:sz w:val="24"/>
          <w:szCs w:val="24"/>
        </w:rPr>
        <w:tab/>
      </w:r>
      <w:r>
        <w:rPr>
          <w:rStyle w:val="Kiemels"/>
          <w:color w:val="000000"/>
          <w:sz w:val="24"/>
          <w:szCs w:val="24"/>
        </w:rPr>
        <w:tab/>
      </w:r>
      <w:r>
        <w:rPr>
          <w:rStyle w:val="Kiemels"/>
          <w:color w:val="000000"/>
          <w:sz w:val="24"/>
          <w:szCs w:val="24"/>
        </w:rPr>
        <w:tab/>
      </w:r>
      <w:r>
        <w:rPr>
          <w:rStyle w:val="Kiemels"/>
          <w:color w:val="000000"/>
          <w:sz w:val="24"/>
          <w:szCs w:val="24"/>
        </w:rPr>
        <w:tab/>
        <w:t xml:space="preserve">     </w:t>
      </w:r>
      <w:r w:rsidRPr="009707B6">
        <w:rPr>
          <w:rStyle w:val="Kiemels"/>
          <w:color w:val="000000"/>
          <w:sz w:val="24"/>
          <w:szCs w:val="24"/>
        </w:rPr>
        <w:t xml:space="preserve">   jegyző</w:t>
      </w:r>
    </w:p>
    <w:p w:rsidR="00A57820" w:rsidRPr="009707B6" w:rsidRDefault="00A57820" w:rsidP="00A57820">
      <w:pPr>
        <w:ind w:firstLine="709"/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ind w:firstLine="709"/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ind w:firstLine="709"/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ind w:firstLine="709"/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ind w:firstLine="709"/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  <w:r w:rsidRPr="009707B6">
        <w:rPr>
          <w:rStyle w:val="Kiemels"/>
          <w:color w:val="000000"/>
          <w:sz w:val="24"/>
          <w:szCs w:val="24"/>
        </w:rPr>
        <w:t>A rendeletet a mai napon kihirdettem:</w:t>
      </w: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rStyle w:val="Kiemels"/>
          <w:b/>
          <w:bCs/>
          <w:i w:val="0"/>
          <w:iCs w:val="0"/>
          <w:color w:val="000000"/>
          <w:sz w:val="24"/>
          <w:szCs w:val="24"/>
        </w:rPr>
      </w:pPr>
    </w:p>
    <w:p w:rsidR="00A57820" w:rsidRPr="009707B6" w:rsidRDefault="00A57820" w:rsidP="00A57820">
      <w:pPr>
        <w:jc w:val="both"/>
        <w:rPr>
          <w:b/>
          <w:bCs/>
          <w:sz w:val="24"/>
          <w:szCs w:val="24"/>
        </w:rPr>
      </w:pP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  <w:t xml:space="preserve">              Dr. Patakyné Dr. Gáti Zsuzsa</w:t>
      </w:r>
    </w:p>
    <w:p w:rsidR="00A57820" w:rsidRPr="009707B6" w:rsidRDefault="00A57820" w:rsidP="00A57820">
      <w:pPr>
        <w:jc w:val="both"/>
        <w:rPr>
          <w:b/>
          <w:bCs/>
          <w:sz w:val="24"/>
          <w:szCs w:val="24"/>
        </w:rPr>
      </w:pP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</w:r>
      <w:r w:rsidRPr="009707B6">
        <w:rPr>
          <w:b/>
          <w:bCs/>
          <w:color w:val="000000"/>
          <w:sz w:val="24"/>
          <w:szCs w:val="24"/>
        </w:rPr>
        <w:tab/>
        <w:t xml:space="preserve">     jegyző</w:t>
      </w:r>
    </w:p>
    <w:p w:rsidR="00A57820" w:rsidRDefault="00A57820"/>
    <w:sectPr w:rsidR="00A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20"/>
    <w:rsid w:val="00A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403"/>
  <w15:chartTrackingRefBased/>
  <w15:docId w15:val="{B7F7E100-8F7F-412B-980F-1C63088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8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7820"/>
    <w:pPr>
      <w:overflowPunct/>
      <w:autoSpaceDE/>
      <w:autoSpaceDN/>
      <w:adjustRightInd/>
      <w:spacing w:after="20"/>
      <w:ind w:firstLine="180"/>
      <w:textAlignment w:val="auto"/>
    </w:pPr>
    <w:rPr>
      <w:sz w:val="24"/>
      <w:szCs w:val="24"/>
    </w:rPr>
  </w:style>
  <w:style w:type="character" w:styleId="Kiemels">
    <w:name w:val="Emphasis"/>
    <w:basedOn w:val="Bekezdsalapbettpusa"/>
    <w:uiPriority w:val="99"/>
    <w:qFormat/>
    <w:rsid w:val="00A57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2020-05-05T12:50:00Z</dcterms:created>
  <dcterms:modified xsi:type="dcterms:W3CDTF">2020-05-05T12:51:00Z</dcterms:modified>
</cp:coreProperties>
</file>